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CAD" w:rsidRDefault="00527CAD" w:rsidP="00527CAD">
      <w:pPr>
        <w:pStyle w:val="Heading5"/>
        <w:shd w:val="clear" w:color="auto" w:fill="FFFFFF"/>
        <w:jc w:val="center"/>
        <w:rPr>
          <w:rFonts w:ascii="Verdana" w:hAnsi="Verdana"/>
          <w:color w:val="8B0000"/>
        </w:rPr>
      </w:pPr>
      <w:proofErr w:type="spellStart"/>
      <w:r>
        <w:rPr>
          <w:rFonts w:ascii="Verdana" w:hAnsi="Verdana"/>
          <w:color w:val="8B0000"/>
        </w:rPr>
        <w:t>Giảng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Viên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Xuất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Sắc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Niên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Khóa</w:t>
      </w:r>
      <w:proofErr w:type="spellEnd"/>
      <w:r>
        <w:rPr>
          <w:rFonts w:ascii="Verdana" w:hAnsi="Verdana"/>
          <w:color w:val="8B0000"/>
        </w:rPr>
        <w:t xml:space="preserve"> 2009-2010</w:t>
      </w:r>
    </w:p>
    <w:p w:rsidR="00527CAD" w:rsidRDefault="00527CAD" w:rsidP="00527CAD">
      <w:pPr>
        <w:pStyle w:val="Heading4"/>
        <w:shd w:val="clear" w:color="auto" w:fill="FFFFFF"/>
        <w:jc w:val="center"/>
        <w:rPr>
          <w:rFonts w:ascii="Verdana" w:hAnsi="Verdana"/>
          <w:color w:val="800000"/>
        </w:rPr>
      </w:pPr>
      <w:bookmarkStart w:id="0" w:name="_GoBack"/>
      <w:proofErr w:type="spellStart"/>
      <w:r>
        <w:rPr>
          <w:rFonts w:ascii="Verdana" w:hAnsi="Verdana"/>
          <w:color w:val="800000"/>
        </w:rPr>
        <w:t>Thầy</w:t>
      </w:r>
      <w:proofErr w:type="spellEnd"/>
      <w:r>
        <w:rPr>
          <w:rFonts w:ascii="Verdana" w:hAnsi="Verdana"/>
          <w:color w:val="800000"/>
        </w:rPr>
        <w:t xml:space="preserve"> </w:t>
      </w:r>
      <w:proofErr w:type="spellStart"/>
      <w:r>
        <w:rPr>
          <w:rFonts w:ascii="Verdana" w:hAnsi="Verdana"/>
          <w:color w:val="800000"/>
        </w:rPr>
        <w:t>Tôn</w:t>
      </w:r>
      <w:proofErr w:type="spellEnd"/>
      <w:r>
        <w:rPr>
          <w:rFonts w:ascii="Verdana" w:hAnsi="Verdana"/>
          <w:color w:val="800000"/>
        </w:rPr>
        <w:t xml:space="preserve"> </w:t>
      </w:r>
      <w:proofErr w:type="spellStart"/>
      <w:r>
        <w:rPr>
          <w:rFonts w:ascii="Verdana" w:hAnsi="Verdana"/>
          <w:color w:val="800000"/>
        </w:rPr>
        <w:t>Thất</w:t>
      </w:r>
      <w:proofErr w:type="spellEnd"/>
      <w:r>
        <w:rPr>
          <w:rFonts w:ascii="Verdana" w:hAnsi="Verdana"/>
          <w:color w:val="800000"/>
        </w:rPr>
        <w:t xml:space="preserve"> </w:t>
      </w:r>
      <w:proofErr w:type="spellStart"/>
      <w:r>
        <w:rPr>
          <w:rFonts w:ascii="Verdana" w:hAnsi="Verdana"/>
          <w:color w:val="800000"/>
        </w:rPr>
        <w:t>Quân</w:t>
      </w:r>
      <w:bookmarkEnd w:id="0"/>
      <w:proofErr w:type="spellEnd"/>
      <w:r>
        <w:rPr>
          <w:rFonts w:ascii="Verdana" w:hAnsi="Verdana"/>
          <w:color w:val="800000"/>
        </w:rPr>
        <w:t xml:space="preserve"> (</w:t>
      </w:r>
      <w:proofErr w:type="spellStart"/>
      <w:r>
        <w:rPr>
          <w:rFonts w:ascii="Verdana" w:hAnsi="Verdana"/>
          <w:color w:val="800000"/>
        </w:rPr>
        <w:t>Lớp</w:t>
      </w:r>
      <w:proofErr w:type="spellEnd"/>
      <w:r>
        <w:rPr>
          <w:rFonts w:ascii="Verdana" w:hAnsi="Verdana"/>
          <w:color w:val="800000"/>
        </w:rPr>
        <w:t xml:space="preserve"> </w:t>
      </w:r>
      <w:proofErr w:type="spellStart"/>
      <w:r>
        <w:rPr>
          <w:rFonts w:ascii="Verdana" w:hAnsi="Verdana"/>
          <w:color w:val="800000"/>
        </w:rPr>
        <w:t>Một</w:t>
      </w:r>
      <w:proofErr w:type="spellEnd"/>
      <w:r>
        <w:rPr>
          <w:rFonts w:ascii="Verdana" w:hAnsi="Verdana"/>
          <w:color w:val="800000"/>
        </w:rPr>
        <w:t xml:space="preserve"> A)</w:t>
      </w:r>
    </w:p>
    <w:p w:rsidR="00527CAD" w:rsidRDefault="00527CAD" w:rsidP="00527CA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proofErr w:type="spellStart"/>
      <w:r>
        <w:rPr>
          <w:rFonts w:ascii="Arial" w:hAnsi="Arial" w:cs="Arial"/>
          <w:color w:val="000000"/>
        </w:rPr>
        <w:t>Tiệc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Xuân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Dần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Thầy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Ngữ</w:t>
      </w:r>
      <w:proofErr w:type="spellEnd"/>
      <w:r>
        <w:rPr>
          <w:rFonts w:ascii="Arial" w:hAnsi="Arial" w:cs="Arial"/>
          <w:color w:val="000000"/>
        </w:rPr>
        <w:t xml:space="preserve"> Nam California – 28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2, 2010]</w:t>
      </w:r>
    </w:p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5166"/>
      </w:tblGrid>
      <w:tr w:rsidR="00527CAD" w:rsidTr="00527CAD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527CAD" w:rsidRDefault="00527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49830" cy="3140075"/>
                  <wp:effectExtent l="0" t="0" r="7620" b="3175"/>
                  <wp:docPr id="8" name="Picture 8" descr="http://vanlangsd.org/pics/Misc/Q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anlangsd.org/pics/Misc/Q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314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Tôn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Thất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Quân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CAD" w:rsidRDefault="00527C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Tôn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Thất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TTVN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San Diego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yêu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tiêu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biểu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nay.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này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còn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ảnh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góp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gìn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 Diego.</w:t>
            </w:r>
          </w:p>
          <w:p w:rsidR="00527CAD" w:rsidRDefault="00527C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cha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truyền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Gia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huấn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chóng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chánh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trầm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lặng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nhưng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hăng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Mỗi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buổi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dọn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dọn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khóa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đồng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cuộc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bóng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rổ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liệng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banh...</w:t>
            </w:r>
          </w:p>
          <w:p w:rsidR="00527CAD" w:rsidRDefault="00527C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còn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nhưng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rồi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đảm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lãnh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trách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nhiệm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thiệu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buổi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niệm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San Diego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vậy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vẫn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tìm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tòi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hỏi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thêm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còn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bằng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đây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còn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Hiệu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gìữ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yếu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“Connect San Diego” do Nissan Foundation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[Qua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này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Bayside Community Center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giữa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sắc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 Diego.]</w:t>
            </w:r>
          </w:p>
          <w:p w:rsidR="00527CAD" w:rsidRDefault="00527C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cống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hỏi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niềm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vọng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mệnh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tồn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ngoại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6242E" w:rsidRPr="00527CAD" w:rsidRDefault="00D6242E" w:rsidP="00527CAD"/>
    <w:sectPr w:rsidR="00D6242E" w:rsidRPr="0052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B"/>
    <w:rsid w:val="00527CAD"/>
    <w:rsid w:val="00562577"/>
    <w:rsid w:val="00AB0717"/>
    <w:rsid w:val="00B3207E"/>
    <w:rsid w:val="00CA4AC0"/>
    <w:rsid w:val="00CB5EA5"/>
    <w:rsid w:val="00D6242E"/>
    <w:rsid w:val="00DE302B"/>
    <w:rsid w:val="00F115C0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4DFA6-B6A9-4774-AD6C-61B8AE4A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3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E30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30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3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Bao P.</dc:creator>
  <cp:keywords/>
  <dc:description/>
  <cp:lastModifiedBy>Nguyen, Bao P.</cp:lastModifiedBy>
  <cp:revision>2</cp:revision>
  <dcterms:created xsi:type="dcterms:W3CDTF">2018-08-07T21:52:00Z</dcterms:created>
  <dcterms:modified xsi:type="dcterms:W3CDTF">2018-08-07T21:52:00Z</dcterms:modified>
</cp:coreProperties>
</file>